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52" w:rsidRPr="00C17252" w:rsidRDefault="00C17252" w:rsidP="00C17252">
      <w:pPr>
        <w:shd w:val="clear" w:color="auto" w:fill="FFFFFF"/>
        <w:spacing w:before="300" w:after="75" w:line="240" w:lineRule="auto"/>
        <w:jc w:val="both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</w:pPr>
      <w:r w:rsidRPr="00C17252"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  <w:t>Normativa Generale - nuova edizione 1° settembre 2009</w:t>
      </w:r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C17252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Copertina</w:t>
      </w:r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5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Ind</w:t>
        </w:r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i</w:t>
        </w:r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ce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6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 xml:space="preserve">Premessa, Carta dei </w:t>
        </w:r>
        <w:proofErr w:type="spellStart"/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princìpi</w:t>
        </w:r>
        <w:proofErr w:type="spellEnd"/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, RO artt.1-6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7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RO artt.7-23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8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RO artt.24-41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9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RA artt.1-21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0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RA artt.22-39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1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RA artt.40-58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2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RA artt.59-80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3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artt.1-38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4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artt.39-60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5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artt.61-82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6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artt.83-109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7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artt.110-163</w:t>
        </w:r>
      </w:hyperlink>
    </w:p>
    <w:p w:rsidR="00C17252" w:rsidRPr="00C17252" w:rsidRDefault="00C17252" w:rsidP="00C17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18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RD artt.164-168, Glossario</w:t>
        </w:r>
      </w:hyperlink>
    </w:p>
    <w:p w:rsidR="00C17252" w:rsidRPr="00C17252" w:rsidRDefault="00C17252" w:rsidP="00C172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C17252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MODIFICHE/INTEGRAZIONI ALLA NORMATIVA ED.2008 (</w:t>
      </w:r>
      <w:hyperlink r:id="rId19" w:history="1">
        <w:r w:rsidRPr="00C17252">
          <w:rPr>
            <w:rFonts w:ascii="Verdana" w:eastAsia="Times New Roman" w:hAnsi="Verdana" w:cs="Times New Roman"/>
            <w:b/>
            <w:bCs/>
            <w:color w:val="006633"/>
            <w:sz w:val="20"/>
            <w:u w:val="single"/>
            <w:lang w:eastAsia="it-IT"/>
          </w:rPr>
          <w:t>clicca qui</w:t>
        </w:r>
      </w:hyperlink>
      <w:r w:rsidRPr="00C17252">
        <w:rPr>
          <w:rFonts w:ascii="Verdana" w:eastAsia="Times New Roman" w:hAnsi="Verdana" w:cs="Times New Roman"/>
          <w:b/>
          <w:bCs/>
          <w:color w:val="222222"/>
          <w:sz w:val="20"/>
          <w:lang w:eastAsia="it-IT"/>
        </w:rPr>
        <w:t>)</w:t>
      </w:r>
    </w:p>
    <w:p w:rsidR="00C17252" w:rsidRPr="00C17252" w:rsidRDefault="00C17252" w:rsidP="00C1725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C17252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 </w:t>
      </w:r>
    </w:p>
    <w:p w:rsidR="00C17252" w:rsidRPr="00C17252" w:rsidRDefault="00C17252" w:rsidP="00C17252">
      <w:pPr>
        <w:shd w:val="clear" w:color="auto" w:fill="FFFFFF"/>
        <w:spacing w:before="300" w:after="75" w:line="240" w:lineRule="auto"/>
        <w:jc w:val="both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</w:pPr>
      <w:r w:rsidRPr="00C17252"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  <w:t xml:space="preserve">Regolamenti del gioco del calcio - ed. </w:t>
      </w:r>
      <w:proofErr w:type="spellStart"/>
      <w:r w:rsidRPr="00C17252">
        <w:rPr>
          <w:rFonts w:ascii="Trebuchet MS" w:eastAsia="Times New Roman" w:hAnsi="Trebuchet MS" w:cs="Times New Roman"/>
          <w:color w:val="000000"/>
          <w:sz w:val="27"/>
          <w:szCs w:val="27"/>
          <w:lang w:eastAsia="it-IT"/>
        </w:rPr>
        <w:t>Uisp</w:t>
      </w:r>
      <w:proofErr w:type="spellEnd"/>
    </w:p>
    <w:p w:rsidR="00C17252" w:rsidRPr="00C17252" w:rsidRDefault="00C17252" w:rsidP="00C172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hyperlink r:id="rId20" w:history="1"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 xml:space="preserve">Circolare tecnica n. 1 2009/2010 Settore arbitrale: "Aggiornamento Regolamenti del gioco del calcio </w:t>
        </w:r>
        <w:proofErr w:type="spellStart"/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>Uisp</w:t>
        </w:r>
        <w:proofErr w:type="spellEnd"/>
        <w:r w:rsidRPr="00C17252">
          <w:rPr>
            <w:rFonts w:ascii="Verdana" w:eastAsia="Times New Roman" w:hAnsi="Verdana" w:cs="Times New Roman"/>
            <w:color w:val="006633"/>
            <w:sz w:val="18"/>
            <w:u w:val="single"/>
            <w:lang w:eastAsia="it-IT"/>
          </w:rPr>
          <w:t xml:space="preserve"> a 11, a 7, a 5 giocatori</w:t>
        </w:r>
      </w:hyperlink>
    </w:p>
    <w:p w:rsidR="00C17252" w:rsidRDefault="00C17252"/>
    <w:sectPr w:rsidR="00C17252" w:rsidSect="00352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35D"/>
    <w:multiLevelType w:val="multilevel"/>
    <w:tmpl w:val="5D84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F246A"/>
    <w:multiLevelType w:val="multilevel"/>
    <w:tmpl w:val="548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7252"/>
    <w:rsid w:val="00352190"/>
    <w:rsid w:val="00C17252"/>
    <w:rsid w:val="00C5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190"/>
  </w:style>
  <w:style w:type="paragraph" w:styleId="Titolo2">
    <w:name w:val="heading 2"/>
    <w:basedOn w:val="Normale"/>
    <w:link w:val="Titolo2Carattere"/>
    <w:uiPriority w:val="9"/>
    <w:qFormat/>
    <w:rsid w:val="00C17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172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725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1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7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calcio/files/principale/NORMATIVA%20GENERALE%20E%20REGOLAMENTI/5.RO%20artt.24-41.pdf" TargetMode="External"/><Relationship Id="rId13" Type="http://schemas.openxmlformats.org/officeDocument/2006/relationships/hyperlink" Target="http://www.uisp.it/calcio/files/principale/NORMATIVA%20GENERALE%20E%20REGOLAMENTI/10.RD%20artt.1-38.pdf" TargetMode="External"/><Relationship Id="rId18" Type="http://schemas.openxmlformats.org/officeDocument/2006/relationships/hyperlink" Target="http://www.uisp.it/calcio/files/principale/NORMATIVA%20GENERALE%20E%20REGOLAMENTI/15.RD%20artt.164-168_Glossario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isp.it/calcio/files/principale/NORMATIVA%20GENERALE%20E%20REGOLAMENTI/4.RO%20artt.7-23.pdf" TargetMode="External"/><Relationship Id="rId12" Type="http://schemas.openxmlformats.org/officeDocument/2006/relationships/hyperlink" Target="http://www.uisp.it/calcio/files/principale/NORMATIVA%20GENERALE%20E%20REGOLAMENTI/9.RA%20artt.59-80.pdf" TargetMode="External"/><Relationship Id="rId17" Type="http://schemas.openxmlformats.org/officeDocument/2006/relationships/hyperlink" Target="http://www.uisp.it/calcio/files/principale/NORMATIVA%20GENERALE%20E%20REGOLAMENTI/14.RD%20artt.110-16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sp.it/calcio/files/principale/NORMATIVA%20GENERALE%20E%20REGOLAMENTI/13.RD%20artt.83-109.pdf" TargetMode="External"/><Relationship Id="rId20" Type="http://schemas.openxmlformats.org/officeDocument/2006/relationships/hyperlink" Target="http://www.uisp.it/calcio/files/principale/SETTORE%20ARBITRALE/CIRCOLARI%20TECNICHE/Circ.%20Tecnica%20Stagione%20Sportiva%202009-2010%20-%20Aggiornamento%20Regolamento%20calcio%20a%2011,%207,%20%2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isp.it/calcio/files/principale/NORMATIVA%20GENERALE%20E%20REGOLAMENTI/3.Premessa_Carta%20dei%20princ%C3%ACpi_RO%20artt.-1-6.pdf" TargetMode="External"/><Relationship Id="rId11" Type="http://schemas.openxmlformats.org/officeDocument/2006/relationships/hyperlink" Target="http://www.uisp.it/calcio/files/principale/NORMATIVA%20GENERALE%20E%20REGOLAMENTI/8.RA%20artt.40-58.pdf" TargetMode="External"/><Relationship Id="rId5" Type="http://schemas.openxmlformats.org/officeDocument/2006/relationships/hyperlink" Target="http://www.uisp.it/calcio/files/principale/NORMATIVA%20GENERALE%20E%20REGOLAMENTI/2.Indice.pdf" TargetMode="External"/><Relationship Id="rId15" Type="http://schemas.openxmlformats.org/officeDocument/2006/relationships/hyperlink" Target="http://www.uisp.it/calcio/files/principale/NORMATIVA%20GENERALE%20E%20REGOLAMENTI/12.RD%20artt.61-82.pdf" TargetMode="External"/><Relationship Id="rId10" Type="http://schemas.openxmlformats.org/officeDocument/2006/relationships/hyperlink" Target="http://www.uisp.it/calcio/files/principale/NORMATIVA%20GENERALE%20E%20REGOLAMENTI/7.RA%20artt.22-39.pdf" TargetMode="External"/><Relationship Id="rId19" Type="http://schemas.openxmlformats.org/officeDocument/2006/relationships/hyperlink" Target="http://www.uisp.it/calcio/files/principale/NORMATIVA%20GENERALE%20E%20REGOLAMENTI/NG%20Lega%20calcio%20Uisp_integrazioni%20e%20correzioni_ed.%201%C2%B0%20settembre%20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sp.it/calcio/files/principale/NORMATIVA%20GENERALE%20E%20REGOLAMENTI/6.RA%20artt.1-21.pdf" TargetMode="External"/><Relationship Id="rId14" Type="http://schemas.openxmlformats.org/officeDocument/2006/relationships/hyperlink" Target="http://www.uisp.it/calcio/files/principale/NORMATIVA%20GENERALE%20E%20REGOLAMENTI/11.RD%20artt.39-6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</dc:creator>
  <cp:lastModifiedBy>Arci</cp:lastModifiedBy>
  <cp:revision>1</cp:revision>
  <dcterms:created xsi:type="dcterms:W3CDTF">2015-06-27T08:11:00Z</dcterms:created>
  <dcterms:modified xsi:type="dcterms:W3CDTF">2015-06-27T08:12:00Z</dcterms:modified>
</cp:coreProperties>
</file>